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25" w:rsidRDefault="000B2A25" w:rsidP="000B2A25">
      <w:pPr>
        <w:spacing w:after="0" w:line="240" w:lineRule="auto"/>
        <w:jc w:val="center"/>
      </w:pPr>
      <w:r>
        <w:t>Scheda sintetica bando POR FSE 2014-2020</w:t>
      </w:r>
    </w:p>
    <w:p w:rsidR="00244077" w:rsidRDefault="000B2A25" w:rsidP="000B2A25">
      <w:pPr>
        <w:spacing w:after="0" w:line="240" w:lineRule="auto"/>
        <w:jc w:val="center"/>
        <w:rPr>
          <w:b/>
        </w:rPr>
      </w:pPr>
      <w:r w:rsidRPr="000B2A25">
        <w:rPr>
          <w:b/>
        </w:rPr>
        <w:t>“FUORICLASSE” Progetti di rafforzamento della partecipazione attiva e dei processi di apprendimento da attuare nelle scuole della Regione Lazio</w:t>
      </w:r>
    </w:p>
    <w:p w:rsidR="000B2A25" w:rsidRPr="00AA7F87" w:rsidRDefault="000B2A25" w:rsidP="000B2A25">
      <w:pPr>
        <w:spacing w:after="0" w:line="240" w:lineRule="auto"/>
        <w:rPr>
          <w:b/>
        </w:rPr>
      </w:pPr>
    </w:p>
    <w:p w:rsidR="006E490C" w:rsidRDefault="006E490C" w:rsidP="006E490C">
      <w:pPr>
        <w:spacing w:after="0" w:line="240" w:lineRule="auto"/>
        <w:jc w:val="both"/>
        <w:rPr>
          <w:b/>
        </w:rPr>
      </w:pPr>
      <w:r w:rsidRPr="006E490C">
        <w:rPr>
          <w:b/>
        </w:rPr>
        <w:t>Scadenze</w:t>
      </w:r>
    </w:p>
    <w:p w:rsidR="006E490C" w:rsidRDefault="006E490C" w:rsidP="006E490C">
      <w:pPr>
        <w:spacing w:after="0" w:line="240" w:lineRule="auto"/>
        <w:jc w:val="both"/>
      </w:pPr>
      <w:r>
        <w:t xml:space="preserve">prima scadenza </w:t>
      </w:r>
      <w:r w:rsidR="00D10F8F">
        <w:t xml:space="preserve">dal 22 gennaio al </w:t>
      </w:r>
      <w:r>
        <w:t>5 febbraio 2016</w:t>
      </w:r>
    </w:p>
    <w:p w:rsidR="006E490C" w:rsidRDefault="006E490C" w:rsidP="006E490C">
      <w:pPr>
        <w:spacing w:after="0" w:line="240" w:lineRule="auto"/>
        <w:jc w:val="both"/>
      </w:pPr>
      <w:r>
        <w:t xml:space="preserve">seconda scadenza </w:t>
      </w:r>
      <w:r w:rsidR="00D10F8F">
        <w:t xml:space="preserve">dal 14 ottobre al </w:t>
      </w:r>
      <w:r>
        <w:t xml:space="preserve">28 ottobre 2016 </w:t>
      </w:r>
    </w:p>
    <w:p w:rsidR="006E490C" w:rsidRPr="006E490C" w:rsidRDefault="006E490C" w:rsidP="006E490C">
      <w:pPr>
        <w:spacing w:after="0" w:line="240" w:lineRule="auto"/>
        <w:jc w:val="both"/>
      </w:pPr>
      <w:r>
        <w:t xml:space="preserve">terza scadenza </w:t>
      </w:r>
      <w:r w:rsidR="00D10F8F">
        <w:t xml:space="preserve">dal 13 ottobre </w:t>
      </w:r>
      <w:r>
        <w:t>27 ottobre 2017</w:t>
      </w:r>
    </w:p>
    <w:p w:rsidR="006E490C" w:rsidRDefault="006E490C" w:rsidP="000B2A25">
      <w:pPr>
        <w:spacing w:after="0" w:line="240" w:lineRule="auto"/>
        <w:rPr>
          <w:b/>
        </w:rPr>
      </w:pPr>
    </w:p>
    <w:p w:rsidR="006E490C" w:rsidRDefault="006E490C" w:rsidP="000B2A25">
      <w:pPr>
        <w:spacing w:after="0" w:line="240" w:lineRule="auto"/>
        <w:rPr>
          <w:b/>
        </w:rPr>
      </w:pPr>
      <w:r>
        <w:rPr>
          <w:b/>
        </w:rPr>
        <w:t xml:space="preserve">Azioni </w:t>
      </w:r>
    </w:p>
    <w:p w:rsidR="006E490C" w:rsidRPr="006E490C" w:rsidRDefault="006E490C" w:rsidP="000B2A25">
      <w:pPr>
        <w:spacing w:after="0" w:line="240" w:lineRule="auto"/>
      </w:pPr>
      <w:r w:rsidRPr="006E490C">
        <w:t>L’avviso prevede 3 azioni diverse. Ciascun proponente</w:t>
      </w:r>
      <w:r w:rsidR="00C63B4F">
        <w:t xml:space="preserve"> (in forma singola o associata) </w:t>
      </w:r>
      <w:r w:rsidRPr="006E490C">
        <w:t>può proporre 1 sola proposta progettuale per ciascuna scadenza</w:t>
      </w:r>
      <w:r w:rsidR="00756C3F">
        <w:t>.</w:t>
      </w:r>
    </w:p>
    <w:p w:rsidR="006E490C" w:rsidRDefault="006E490C" w:rsidP="000B2A25">
      <w:pPr>
        <w:spacing w:after="0" w:line="240" w:lineRule="auto"/>
        <w:rPr>
          <w:b/>
        </w:rPr>
      </w:pPr>
    </w:p>
    <w:p w:rsidR="00437F7E" w:rsidRPr="00C63B4F" w:rsidRDefault="000B2A25" w:rsidP="000B2A25">
      <w:pPr>
        <w:spacing w:after="0" w:line="240" w:lineRule="auto"/>
        <w:rPr>
          <w:u w:val="single"/>
        </w:rPr>
      </w:pPr>
      <w:r w:rsidRPr="00C63B4F">
        <w:rPr>
          <w:u w:val="single"/>
        </w:rPr>
        <w:t xml:space="preserve">AZIONE A: Esperienze brevi di apprendimento in situazione lavorativa </w:t>
      </w:r>
    </w:p>
    <w:p w:rsidR="00437F7E" w:rsidRDefault="00437F7E" w:rsidP="00F77E6A">
      <w:pPr>
        <w:spacing w:after="0" w:line="240" w:lineRule="auto"/>
      </w:pPr>
      <w:r w:rsidRPr="00F77E6A">
        <w:rPr>
          <w:i/>
        </w:rPr>
        <w:t>Attività finanziabili</w:t>
      </w:r>
      <w:r>
        <w:t xml:space="preserve">: percorsi formativi di introduzione </w:t>
      </w:r>
      <w:r w:rsidR="00756C3F">
        <w:t xml:space="preserve">degli studenti </w:t>
      </w:r>
      <w:r>
        <w:t>al mondo del lavoro</w:t>
      </w:r>
      <w:r w:rsidR="00756C3F">
        <w:t>,</w:t>
      </w:r>
      <w:r>
        <w:t xml:space="preserve"> che prevedono </w:t>
      </w:r>
      <w:r w:rsidR="00071C18">
        <w:t xml:space="preserve">sia formazione in aula che </w:t>
      </w:r>
      <w:r>
        <w:t>momenti di apprendimento in contesto aziendale (visite in azienda, osservazione della pratica lavorativa, ecc.)</w:t>
      </w:r>
    </w:p>
    <w:p w:rsidR="00F77E6A" w:rsidRDefault="00F77E6A" w:rsidP="00F77E6A">
      <w:pPr>
        <w:spacing w:after="0" w:line="240" w:lineRule="auto"/>
      </w:pPr>
    </w:p>
    <w:p w:rsidR="00437F7E" w:rsidRDefault="00437F7E" w:rsidP="00F77E6A">
      <w:pPr>
        <w:spacing w:after="0" w:line="240" w:lineRule="auto"/>
      </w:pPr>
      <w:r w:rsidRPr="00F77E6A">
        <w:rPr>
          <w:i/>
        </w:rPr>
        <w:t>Destinatari</w:t>
      </w:r>
      <w:r>
        <w:t>: studenti dell’ultimo triennio delle scuole secondarie di secondo grado</w:t>
      </w:r>
    </w:p>
    <w:p w:rsidR="00F77E6A" w:rsidRDefault="00F77E6A" w:rsidP="00F77E6A">
      <w:pPr>
        <w:spacing w:after="0" w:line="240" w:lineRule="auto"/>
      </w:pPr>
    </w:p>
    <w:p w:rsidR="006E490C" w:rsidRDefault="00437F7E" w:rsidP="00F77E6A">
      <w:pPr>
        <w:spacing w:after="0" w:line="240" w:lineRule="auto"/>
      </w:pPr>
      <w:r w:rsidRPr="00F77E6A">
        <w:rPr>
          <w:i/>
        </w:rPr>
        <w:t>Soggetti proponenti</w:t>
      </w:r>
      <w:r>
        <w:t xml:space="preserve">: </w:t>
      </w:r>
      <w:r w:rsidR="00071C18">
        <w:t>i</w:t>
      </w:r>
      <w:r>
        <w:t>stituti scolastici statali e paritari in forma singola o associata, Reti di scuole</w:t>
      </w:r>
      <w:r w:rsidR="006E490C">
        <w:t xml:space="preserve">. </w:t>
      </w:r>
    </w:p>
    <w:p w:rsidR="00437F7E" w:rsidRDefault="006E490C" w:rsidP="00F77E6A">
      <w:pPr>
        <w:spacing w:after="0" w:line="240" w:lineRule="auto"/>
      </w:pPr>
      <w:r>
        <w:t>E’ obbligatoria una dichiarazione di adesione da parte di soggetti pubblici o privati disponibili a collaborare al progetto</w:t>
      </w:r>
      <w:r w:rsidR="00071C18">
        <w:t>.</w:t>
      </w:r>
    </w:p>
    <w:p w:rsidR="00F77E6A" w:rsidRDefault="00F77E6A" w:rsidP="00F77E6A">
      <w:pPr>
        <w:spacing w:after="0" w:line="240" w:lineRule="auto"/>
      </w:pPr>
    </w:p>
    <w:p w:rsidR="00756C3F" w:rsidRDefault="00437F7E" w:rsidP="00756C3F">
      <w:pPr>
        <w:spacing w:after="0" w:line="240" w:lineRule="auto"/>
      </w:pPr>
      <w:r w:rsidRPr="00F77E6A">
        <w:rPr>
          <w:i/>
        </w:rPr>
        <w:t>Finanziamento</w:t>
      </w:r>
      <w:r>
        <w:t xml:space="preserve">: </w:t>
      </w:r>
      <w:r w:rsidR="003A2049">
        <w:t xml:space="preserve">massimo </w:t>
      </w:r>
      <w:r>
        <w:t>25.000 euro</w:t>
      </w:r>
      <w:r w:rsidR="003A2049">
        <w:t xml:space="preserve"> a progetto, di cui 8</w:t>
      </w:r>
      <w:r w:rsidR="00756C3F">
        <w:t xml:space="preserve">0% in anticipo e saldo a rendicontazione avvenuta. </w:t>
      </w:r>
      <w:r w:rsidR="00A74417">
        <w:t xml:space="preserve"> Dovrebbero essere finanziati circa 40 progetti per ogni scadenza.</w:t>
      </w:r>
    </w:p>
    <w:p w:rsidR="00756C3F" w:rsidRDefault="00756C3F" w:rsidP="000B2A25">
      <w:pPr>
        <w:spacing w:after="0" w:line="240" w:lineRule="auto"/>
        <w:rPr>
          <w:u w:val="single"/>
        </w:rPr>
      </w:pPr>
    </w:p>
    <w:p w:rsidR="000B2A25" w:rsidRPr="00C63B4F" w:rsidRDefault="000B2A25" w:rsidP="000B2A25">
      <w:pPr>
        <w:spacing w:after="0" w:line="240" w:lineRule="auto"/>
        <w:rPr>
          <w:u w:val="single"/>
        </w:rPr>
      </w:pPr>
      <w:r w:rsidRPr="00C63B4F">
        <w:rPr>
          <w:u w:val="single"/>
        </w:rPr>
        <w:t>AZIONE B: Interventi a contrasto della dispersione scolastica</w:t>
      </w:r>
    </w:p>
    <w:p w:rsidR="00F77E6A" w:rsidRDefault="00F77E6A" w:rsidP="00437F7E">
      <w:pPr>
        <w:spacing w:after="0" w:line="240" w:lineRule="auto"/>
        <w:rPr>
          <w:i/>
        </w:rPr>
      </w:pPr>
    </w:p>
    <w:p w:rsidR="00C63B4F" w:rsidRDefault="00437F7E" w:rsidP="00437F7E">
      <w:pPr>
        <w:spacing w:after="0" w:line="240" w:lineRule="auto"/>
      </w:pPr>
      <w:r w:rsidRPr="00437F7E">
        <w:rPr>
          <w:i/>
        </w:rPr>
        <w:t>Attività finanziabili</w:t>
      </w:r>
      <w:r>
        <w:t>: azioni a contras</w:t>
      </w:r>
      <w:r w:rsidR="00C63B4F">
        <w:t xml:space="preserve">to della dispersione scolastica. </w:t>
      </w:r>
    </w:p>
    <w:p w:rsidR="00C63B4F" w:rsidRDefault="00C63B4F" w:rsidP="00437F7E">
      <w:pPr>
        <w:spacing w:after="0" w:line="240" w:lineRule="auto"/>
      </w:pPr>
      <w:r>
        <w:t xml:space="preserve">Le azioni dovranno essere ricomprese in una o più delle seguenti tipologie: </w:t>
      </w:r>
    </w:p>
    <w:p w:rsidR="00C63B4F" w:rsidRDefault="00C63B4F" w:rsidP="00437F7E">
      <w:pPr>
        <w:spacing w:after="0" w:line="240" w:lineRule="auto"/>
      </w:pPr>
      <w:r>
        <w:t xml:space="preserve">- azioni volte ad individuare formule di intervento, anche innovative, per gli studenti a maggior rischio di esclusione sociale; </w:t>
      </w:r>
    </w:p>
    <w:p w:rsidR="00C63B4F" w:rsidRDefault="00C63B4F" w:rsidP="00437F7E">
      <w:pPr>
        <w:spacing w:after="0" w:line="240" w:lineRule="auto"/>
      </w:pPr>
      <w:r>
        <w:t xml:space="preserve">- azioni volte a qualificare ed innovare l’offerta scolastica; </w:t>
      </w:r>
    </w:p>
    <w:p w:rsidR="00C63B4F" w:rsidRDefault="00C63B4F" w:rsidP="00437F7E">
      <w:pPr>
        <w:spacing w:after="0" w:line="240" w:lineRule="auto"/>
      </w:pPr>
      <w:r>
        <w:t xml:space="preserve">- azioni volte a stabilire relazioni più solide e personali tra la scuola, la famiglia, i giovani, in particolare se figli di immigrati, ed i loro compagni; </w:t>
      </w:r>
    </w:p>
    <w:p w:rsidR="00C63B4F" w:rsidRDefault="00C63B4F" w:rsidP="00437F7E">
      <w:pPr>
        <w:spacing w:after="0" w:line="240" w:lineRule="auto"/>
      </w:pPr>
      <w:r>
        <w:t xml:space="preserve">- azioni tese a sostenere gli alunni con diverse disabilità fisiche e psichiche; </w:t>
      </w:r>
    </w:p>
    <w:p w:rsidR="00C63B4F" w:rsidRDefault="00C63B4F" w:rsidP="00437F7E">
      <w:pPr>
        <w:spacing w:after="0" w:line="240" w:lineRule="auto"/>
      </w:pPr>
      <w:r>
        <w:t>- azioni di prevenzione e contrasto di fenomeni di razzismo, sessismo, omofobia e bullismo;</w:t>
      </w:r>
    </w:p>
    <w:p w:rsidR="00C63B4F" w:rsidRDefault="00C63B4F" w:rsidP="00437F7E">
      <w:pPr>
        <w:spacing w:after="0" w:line="240" w:lineRule="auto"/>
      </w:pPr>
      <w:r>
        <w:t xml:space="preserve">- azioni volte alla promozione della parità di genere. </w:t>
      </w:r>
    </w:p>
    <w:p w:rsidR="00F77E6A" w:rsidRDefault="00F77E6A" w:rsidP="00437F7E">
      <w:pPr>
        <w:spacing w:after="0" w:line="240" w:lineRule="auto"/>
      </w:pPr>
    </w:p>
    <w:p w:rsidR="00C63B4F" w:rsidRDefault="00C63B4F" w:rsidP="00437F7E">
      <w:pPr>
        <w:spacing w:after="0" w:line="240" w:lineRule="auto"/>
      </w:pPr>
      <w:r>
        <w:t xml:space="preserve">A titolo esemplificativo, potrà essere previsto: </w:t>
      </w:r>
    </w:p>
    <w:p w:rsidR="00C63B4F" w:rsidRDefault="00C63B4F" w:rsidP="00437F7E">
      <w:pPr>
        <w:spacing w:after="0" w:line="240" w:lineRule="auto"/>
      </w:pPr>
      <w:r>
        <w:t xml:space="preserve">- alfabetizzazione al linguaggio cinematografico, televisivo, </w:t>
      </w:r>
      <w:proofErr w:type="spellStart"/>
      <w:r>
        <w:t>crossmediale</w:t>
      </w:r>
      <w:proofErr w:type="spellEnd"/>
      <w:r>
        <w:t xml:space="preserve">, anche attraverso la </w:t>
      </w:r>
      <w:proofErr w:type="spellStart"/>
      <w:r>
        <w:t>ri</w:t>
      </w:r>
      <w:proofErr w:type="spellEnd"/>
      <w:r>
        <w:t xml:space="preserve">-educazione alla percezione dei media; </w:t>
      </w:r>
    </w:p>
    <w:p w:rsidR="00C63B4F" w:rsidRDefault="00C63B4F" w:rsidP="00437F7E">
      <w:pPr>
        <w:spacing w:after="0" w:line="240" w:lineRule="auto"/>
      </w:pPr>
      <w:r>
        <w:t xml:space="preserve">- formazione negli studenti di una mentalità eco-sistemica; - utilizzo di strumenti e tecniche nel campo dell’educazione ambientale; </w:t>
      </w:r>
    </w:p>
    <w:p w:rsidR="00C63B4F" w:rsidRDefault="00C63B4F" w:rsidP="00437F7E">
      <w:pPr>
        <w:spacing w:after="0" w:line="240" w:lineRule="auto"/>
      </w:pPr>
      <w:r>
        <w:t xml:space="preserve">- ricorso alla metodologia laboratoriale, anche nell’ottica dello sviluppo di una scuola delle competenze; </w:t>
      </w:r>
    </w:p>
    <w:p w:rsidR="00437F7E" w:rsidRDefault="00C63B4F" w:rsidP="00437F7E">
      <w:pPr>
        <w:spacing w:after="0" w:line="240" w:lineRule="auto"/>
        <w:rPr>
          <w:i/>
        </w:rPr>
      </w:pPr>
      <w:r>
        <w:t>- diffusione delle arti performative (musica, danza, teatro) e delle attività sportive come strumenti educativi ed inclusivi</w:t>
      </w:r>
      <w:r w:rsidR="00F77E6A">
        <w:t>.</w:t>
      </w:r>
    </w:p>
    <w:p w:rsidR="00C63B4F" w:rsidRDefault="00C63B4F" w:rsidP="00437F7E">
      <w:pPr>
        <w:spacing w:after="0" w:line="240" w:lineRule="auto"/>
        <w:rPr>
          <w:i/>
        </w:rPr>
      </w:pPr>
    </w:p>
    <w:p w:rsidR="00437F7E" w:rsidRDefault="00437F7E" w:rsidP="00437F7E">
      <w:pPr>
        <w:spacing w:after="0" w:line="240" w:lineRule="auto"/>
      </w:pPr>
      <w:r w:rsidRPr="00437F7E">
        <w:rPr>
          <w:i/>
        </w:rPr>
        <w:t>Destinatari</w:t>
      </w:r>
      <w:r>
        <w:t>:  studenti delle scuole primarie e secondarie di primo e secondo grado</w:t>
      </w:r>
    </w:p>
    <w:p w:rsidR="00F77E6A" w:rsidRDefault="00F77E6A" w:rsidP="00437F7E">
      <w:pPr>
        <w:spacing w:after="0" w:line="240" w:lineRule="auto"/>
        <w:rPr>
          <w:i/>
        </w:rPr>
      </w:pPr>
    </w:p>
    <w:p w:rsidR="00437F7E" w:rsidRDefault="00437F7E" w:rsidP="00437F7E">
      <w:pPr>
        <w:spacing w:after="0" w:line="240" w:lineRule="auto"/>
      </w:pPr>
      <w:r w:rsidRPr="00437F7E">
        <w:rPr>
          <w:i/>
        </w:rPr>
        <w:lastRenderedPageBreak/>
        <w:t>Soggetti proponenti</w:t>
      </w:r>
      <w:r>
        <w:t>: istituti scolastici statali e paritari; enti pubblici; enti e associazioni privati, comprese fondazioni, cooperative, imprese.  I soggetti possono presentare domanda di contributo sia in forma singola che attraverso costituite o costituende ATI, ATS, Reti di scuole.</w:t>
      </w:r>
    </w:p>
    <w:p w:rsidR="00437F7E" w:rsidRDefault="00FD06F3" w:rsidP="00437F7E">
      <w:pPr>
        <w:spacing w:after="0" w:line="240" w:lineRule="auto"/>
      </w:pPr>
      <w:r>
        <w:t>S</w:t>
      </w:r>
      <w:r w:rsidR="00437F7E">
        <w:t>e il proponente non è una scuola servirà almeno una lettera di adesione di un istituto scolastico.</w:t>
      </w:r>
    </w:p>
    <w:p w:rsidR="00437F7E" w:rsidRDefault="00437F7E" w:rsidP="00437F7E">
      <w:pPr>
        <w:spacing w:after="0" w:line="240" w:lineRule="auto"/>
        <w:rPr>
          <w:i/>
        </w:rPr>
      </w:pPr>
    </w:p>
    <w:p w:rsidR="00437F7E" w:rsidRDefault="00437F7E" w:rsidP="00437F7E">
      <w:pPr>
        <w:spacing w:after="0" w:line="240" w:lineRule="auto"/>
      </w:pPr>
      <w:r w:rsidRPr="00437F7E">
        <w:rPr>
          <w:i/>
        </w:rPr>
        <w:t>Finanziamento</w:t>
      </w:r>
      <w:r>
        <w:t xml:space="preserve">: </w:t>
      </w:r>
      <w:r w:rsidR="003A2049">
        <w:t xml:space="preserve">massimo </w:t>
      </w:r>
      <w:r>
        <w:t>10.000 euro</w:t>
      </w:r>
      <w:r w:rsidR="003A2049">
        <w:t xml:space="preserve"> a progetto, di cui </w:t>
      </w:r>
      <w:r>
        <w:t>80% in anticipo e saldo a rendicontazione avvenuta. Per l’anticipo sarà necessario stipulare una fideiussione (non necessaria per scuole e altri enti pubblici)</w:t>
      </w:r>
    </w:p>
    <w:p w:rsidR="00A74417" w:rsidRDefault="00A74417" w:rsidP="00A74417">
      <w:pPr>
        <w:spacing w:after="0" w:line="240" w:lineRule="auto"/>
      </w:pPr>
      <w:r>
        <w:t>Dovrebbero essere finanziati circa 40 progetti per ogni scadenza.</w:t>
      </w:r>
    </w:p>
    <w:p w:rsidR="00437F7E" w:rsidRDefault="00437F7E" w:rsidP="000B2A25">
      <w:pPr>
        <w:spacing w:after="0" w:line="240" w:lineRule="auto"/>
      </w:pPr>
    </w:p>
    <w:p w:rsidR="000B2A25" w:rsidRPr="00C63B4F" w:rsidRDefault="000B2A25" w:rsidP="000B2A25">
      <w:pPr>
        <w:spacing w:after="0" w:line="240" w:lineRule="auto"/>
        <w:rPr>
          <w:u w:val="single"/>
        </w:rPr>
      </w:pPr>
      <w:r w:rsidRPr="00C63B4F">
        <w:rPr>
          <w:u w:val="single"/>
        </w:rPr>
        <w:t>AZIONE C: Interventi di sensibilizzazione per la cittadinanza, la solidarietà, la legalità e la cultura ambientale</w:t>
      </w:r>
    </w:p>
    <w:p w:rsidR="000B2A25" w:rsidRDefault="000B2A25" w:rsidP="00AA7F87">
      <w:pPr>
        <w:spacing w:after="0" w:line="240" w:lineRule="auto"/>
        <w:rPr>
          <w:b/>
        </w:rPr>
      </w:pPr>
    </w:p>
    <w:p w:rsidR="00F77E6A" w:rsidRDefault="00AA7F87" w:rsidP="00AA7F87">
      <w:pPr>
        <w:spacing w:after="0" w:line="240" w:lineRule="auto"/>
      </w:pPr>
      <w:r w:rsidRPr="00437F7E">
        <w:rPr>
          <w:i/>
        </w:rPr>
        <w:t>Attività finanziabili</w:t>
      </w:r>
      <w:r>
        <w:t xml:space="preserve">: brevi percorsi formativi </w:t>
      </w:r>
      <w:r w:rsidR="00F77E6A">
        <w:t xml:space="preserve">diretti agli studenti sui temi </w:t>
      </w:r>
      <w:r w:rsidR="00FD06F3">
        <w:t>di cui sopra.</w:t>
      </w:r>
    </w:p>
    <w:p w:rsidR="00F77E6A" w:rsidRDefault="00F77E6A" w:rsidP="00F77E6A">
      <w:pPr>
        <w:spacing w:after="0" w:line="240" w:lineRule="auto"/>
      </w:pPr>
      <w:r>
        <w:t xml:space="preserve">Le azioni dovranno essere ricomprese in una delle seguenti tipologie: </w:t>
      </w:r>
    </w:p>
    <w:p w:rsidR="00AA7F87" w:rsidRPr="00F77E6A" w:rsidRDefault="00AA7F87" w:rsidP="00F77E6A">
      <w:pPr>
        <w:pStyle w:val="Paragrafoelenco"/>
        <w:numPr>
          <w:ilvl w:val="0"/>
          <w:numId w:val="1"/>
        </w:numPr>
        <w:spacing w:after="0" w:line="240" w:lineRule="auto"/>
        <w:rPr>
          <w:b/>
        </w:rPr>
      </w:pPr>
      <w:r>
        <w:t xml:space="preserve">seminario di discussione e confronto; </w:t>
      </w:r>
    </w:p>
    <w:p w:rsidR="00AA7F87" w:rsidRPr="00AA7F87" w:rsidRDefault="00AA7F87" w:rsidP="00AA7F87">
      <w:pPr>
        <w:pStyle w:val="Paragrafoelenco"/>
        <w:numPr>
          <w:ilvl w:val="0"/>
          <w:numId w:val="1"/>
        </w:numPr>
        <w:spacing w:after="0" w:line="240" w:lineRule="auto"/>
        <w:rPr>
          <w:b/>
        </w:rPr>
      </w:pPr>
      <w:r>
        <w:t xml:space="preserve">esperienze di laboratori creativi; </w:t>
      </w:r>
    </w:p>
    <w:p w:rsidR="00AA7F87" w:rsidRPr="00AA7F87" w:rsidRDefault="00AA7F87" w:rsidP="00AA7F87">
      <w:pPr>
        <w:pStyle w:val="Paragrafoelenco"/>
        <w:numPr>
          <w:ilvl w:val="0"/>
          <w:numId w:val="1"/>
        </w:numPr>
        <w:spacing w:after="0" w:line="240" w:lineRule="auto"/>
        <w:rPr>
          <w:b/>
        </w:rPr>
      </w:pPr>
      <w:r>
        <w:t>visite formative (nel territorio della regione Lazio, sul territorio nazionale, all’estero</w:t>
      </w:r>
      <w:r w:rsidR="00FD06F3">
        <w:t>).</w:t>
      </w:r>
    </w:p>
    <w:p w:rsidR="00AA7F87" w:rsidRDefault="00AA7F87" w:rsidP="00AA7F87">
      <w:pPr>
        <w:spacing w:after="0" w:line="240" w:lineRule="auto"/>
        <w:rPr>
          <w:b/>
        </w:rPr>
      </w:pPr>
    </w:p>
    <w:p w:rsidR="00AA7F87" w:rsidRDefault="00AA7F87" w:rsidP="00AA7F87">
      <w:pPr>
        <w:spacing w:after="0" w:line="240" w:lineRule="auto"/>
      </w:pPr>
      <w:r w:rsidRPr="00AA7F87">
        <w:rPr>
          <w:i/>
        </w:rPr>
        <w:t>Destinatari:</w:t>
      </w:r>
      <w:r>
        <w:rPr>
          <w:b/>
        </w:rPr>
        <w:t xml:space="preserve"> </w:t>
      </w:r>
      <w:r>
        <w:t>studenti delle scuole primarie e secondarie di primo e secondo grado</w:t>
      </w:r>
    </w:p>
    <w:p w:rsidR="00AA7F87" w:rsidRPr="00AA7F87" w:rsidRDefault="00AA7F87" w:rsidP="00AA7F87">
      <w:pPr>
        <w:spacing w:after="0" w:line="240" w:lineRule="auto"/>
        <w:rPr>
          <w:b/>
        </w:rPr>
      </w:pPr>
    </w:p>
    <w:p w:rsidR="00AA7F87" w:rsidRDefault="00AA7F87" w:rsidP="00AA7F87">
      <w:pPr>
        <w:spacing w:after="0" w:line="240" w:lineRule="auto"/>
      </w:pPr>
      <w:r w:rsidRPr="00437F7E">
        <w:rPr>
          <w:i/>
        </w:rPr>
        <w:t>Soggetti proponenti</w:t>
      </w:r>
      <w:r>
        <w:t>: Istituti scolastici statali e paritari in forma singola o associata, Reti di scuole</w:t>
      </w:r>
      <w:r w:rsidR="00723FC0">
        <w:t>.</w:t>
      </w:r>
      <w:r w:rsidR="00723FC0">
        <w:br/>
        <w:t xml:space="preserve">L’adesione di altri soggetti non è </w:t>
      </w:r>
      <w:proofErr w:type="spellStart"/>
      <w:r w:rsidR="00723FC0">
        <w:t>obbligfatoria</w:t>
      </w:r>
      <w:proofErr w:type="spellEnd"/>
      <w:r w:rsidR="00723FC0">
        <w:t>.</w:t>
      </w:r>
    </w:p>
    <w:p w:rsidR="000B2A25" w:rsidRDefault="000B2A25" w:rsidP="000B2A25">
      <w:pPr>
        <w:spacing w:after="0" w:line="240" w:lineRule="auto"/>
        <w:jc w:val="both"/>
      </w:pPr>
    </w:p>
    <w:p w:rsidR="00AA7F87" w:rsidRDefault="00AA7F87" w:rsidP="00AA7F87">
      <w:pPr>
        <w:spacing w:after="0" w:line="240" w:lineRule="auto"/>
      </w:pPr>
      <w:r w:rsidRPr="00437F7E">
        <w:rPr>
          <w:i/>
        </w:rPr>
        <w:t>Finanziamento</w:t>
      </w:r>
      <w:r>
        <w:t>: 5.000 euro</w:t>
      </w:r>
      <w:r w:rsidR="00756C3F">
        <w:t xml:space="preserve"> a progetto</w:t>
      </w:r>
      <w:r w:rsidR="00FD06F3">
        <w:t xml:space="preserve">, di cui </w:t>
      </w:r>
      <w:r>
        <w:t xml:space="preserve">50% in anticipo e saldo a rendicontazione avvenuta. </w:t>
      </w:r>
    </w:p>
    <w:p w:rsidR="00A74417" w:rsidRDefault="00A74417" w:rsidP="00A74417">
      <w:pPr>
        <w:spacing w:after="0" w:line="240" w:lineRule="auto"/>
      </w:pPr>
      <w:r>
        <w:t>Dovrebbero essere finanziati circa 40 progetti per ogni scadenza.</w:t>
      </w:r>
    </w:p>
    <w:p w:rsidR="00A74417" w:rsidRDefault="00467CEB" w:rsidP="00A74417">
      <w:pPr>
        <w:spacing w:after="0" w:line="240" w:lineRule="auto"/>
      </w:pPr>
      <w:r>
        <w:t xml:space="preserve"> </w:t>
      </w:r>
    </w:p>
    <w:p w:rsidR="00723FC0" w:rsidRDefault="00723FC0" w:rsidP="00723FC0">
      <w:pPr>
        <w:spacing w:after="0" w:line="240" w:lineRule="auto"/>
        <w:jc w:val="both"/>
      </w:pPr>
      <w:r w:rsidRPr="006E490C">
        <w:rPr>
          <w:b/>
        </w:rPr>
        <w:t>Durata dei progetti</w:t>
      </w:r>
      <w:r>
        <w:rPr>
          <w:b/>
        </w:rPr>
        <w:t xml:space="preserve"> </w:t>
      </w:r>
      <w:r>
        <w:t>Massimo 8 mesi</w:t>
      </w:r>
    </w:p>
    <w:p w:rsidR="00723FC0" w:rsidRDefault="00723FC0" w:rsidP="00723FC0">
      <w:pPr>
        <w:spacing w:after="0" w:line="240" w:lineRule="auto"/>
        <w:jc w:val="both"/>
      </w:pPr>
    </w:p>
    <w:p w:rsidR="00723FC0" w:rsidRDefault="00723FC0" w:rsidP="00723FC0">
      <w:pPr>
        <w:spacing w:after="0" w:line="240" w:lineRule="auto"/>
        <w:jc w:val="both"/>
      </w:pPr>
      <w:r w:rsidRPr="00D10F8F">
        <w:rPr>
          <w:b/>
        </w:rPr>
        <w:t>Tempistica di approvazione dei progetti:</w:t>
      </w:r>
      <w:r>
        <w:rPr>
          <w:b/>
        </w:rPr>
        <w:t xml:space="preserve"> </w:t>
      </w:r>
      <w:r>
        <w:t>di norma entro 60 giorni dalla data di trasmissione</w:t>
      </w:r>
    </w:p>
    <w:p w:rsidR="00A74417" w:rsidRDefault="00723FC0" w:rsidP="00FD06F3">
      <w:pPr>
        <w:spacing w:after="0" w:line="240" w:lineRule="auto"/>
      </w:pPr>
      <w:r>
        <w:br/>
      </w:r>
      <w:r w:rsidRPr="00723FC0">
        <w:rPr>
          <w:b/>
        </w:rPr>
        <w:t xml:space="preserve">Risorse finanziarie: </w:t>
      </w:r>
      <w:r>
        <w:t>complessivamente disponibili 5.100.000</w:t>
      </w:r>
      <w:r w:rsidR="00A74417">
        <w:t xml:space="preserve"> euro.</w:t>
      </w:r>
    </w:p>
    <w:p w:rsidR="00723FC0" w:rsidRDefault="00723FC0" w:rsidP="00FD06F3">
      <w:pPr>
        <w:spacing w:after="0" w:line="240" w:lineRule="auto"/>
      </w:pPr>
      <w:r>
        <w:t>Per ogni scadenza sono a disposizione 1.700.000 euro</w:t>
      </w:r>
      <w:r w:rsidR="00A74417">
        <w:t>, così suddivisi: 1.000.000 per l’azione A, 500.000 per l’azione B, 200.000 per l’azione C</w:t>
      </w:r>
      <w:r>
        <w:t>.</w:t>
      </w:r>
    </w:p>
    <w:p w:rsidR="00723FC0" w:rsidRDefault="00723FC0" w:rsidP="00723FC0">
      <w:pPr>
        <w:spacing w:after="0" w:line="240" w:lineRule="auto"/>
        <w:jc w:val="both"/>
      </w:pPr>
    </w:p>
    <w:p w:rsidR="00723FC0" w:rsidRDefault="00723FC0" w:rsidP="00723FC0">
      <w:pPr>
        <w:spacing w:after="0" w:line="240" w:lineRule="auto"/>
        <w:jc w:val="both"/>
      </w:pPr>
      <w:r w:rsidRPr="00723FC0">
        <w:rPr>
          <w:b/>
        </w:rPr>
        <w:t>Modalità di presentazione</w:t>
      </w:r>
      <w:r>
        <w:t>: attraverso procedura telematica sul sito web della Regione</w:t>
      </w:r>
    </w:p>
    <w:p w:rsidR="00756C3F" w:rsidRDefault="00756C3F" w:rsidP="00723FC0">
      <w:pPr>
        <w:spacing w:after="0" w:line="240" w:lineRule="auto"/>
        <w:jc w:val="both"/>
      </w:pPr>
    </w:p>
    <w:p w:rsidR="00756C3F" w:rsidRDefault="00756C3F" w:rsidP="00723FC0">
      <w:pPr>
        <w:spacing w:after="0" w:line="240" w:lineRule="auto"/>
        <w:jc w:val="both"/>
      </w:pPr>
      <w:r>
        <w:rPr>
          <w:b/>
        </w:rPr>
        <w:t>Strumento di semplificazione dei costi</w:t>
      </w:r>
      <w:r>
        <w:t xml:space="preserve">: </w:t>
      </w:r>
    </w:p>
    <w:p w:rsidR="00756C3F" w:rsidRDefault="00756C3F" w:rsidP="00756C3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per le Azioni A e B </w:t>
      </w:r>
      <w:r w:rsidR="00467CEB">
        <w:t>sarà sufficiente</w:t>
      </w:r>
      <w:r>
        <w:t xml:space="preserve"> </w:t>
      </w:r>
      <w:r w:rsidR="00FD06F3">
        <w:t>indicare</w:t>
      </w:r>
      <w:r>
        <w:t xml:space="preserve"> i costi di personale. Per tutti gli</w:t>
      </w:r>
      <w:r w:rsidR="00467CEB">
        <w:t xml:space="preserve"> altri costi sarà riconosciuta un</w:t>
      </w:r>
      <w:r>
        <w:t xml:space="preserve">a cifra forfettaria </w:t>
      </w:r>
      <w:r w:rsidR="00467CEB">
        <w:t xml:space="preserve">pari al </w:t>
      </w:r>
      <w:r>
        <w:t>40% dei costi di personale</w:t>
      </w:r>
      <w:r w:rsidR="00467CEB">
        <w:t xml:space="preserve">. Non sarà necessario rendicontare </w:t>
      </w:r>
      <w:proofErr w:type="spellStart"/>
      <w:r w:rsidR="00467CEB">
        <w:t>queta</w:t>
      </w:r>
      <w:proofErr w:type="spellEnd"/>
      <w:r w:rsidR="00467CEB">
        <w:t xml:space="preserve"> cifra </w:t>
      </w:r>
      <w:proofErr w:type="spellStart"/>
      <w:r w:rsidR="00467CEB">
        <w:t>forfettiaria</w:t>
      </w:r>
      <w:proofErr w:type="spellEnd"/>
    </w:p>
    <w:p w:rsidR="00756C3F" w:rsidRPr="00723FC0" w:rsidRDefault="00756C3F" w:rsidP="00756C3F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per l’azione C sarà riconosciuta la cifra forfettaria di 5.000 euro (a patto di realizzare tutte le attività previste e di coinvolgere  minimo 30 destinatari).</w:t>
      </w:r>
      <w:r w:rsidR="00467CEB">
        <w:t xml:space="preserve"> Non sarà necessaria la rendicontazione delle spese</w:t>
      </w:r>
    </w:p>
    <w:p w:rsidR="000B2A25" w:rsidRDefault="000B2A25" w:rsidP="000B2A25">
      <w:pPr>
        <w:spacing w:after="0" w:line="240" w:lineRule="auto"/>
      </w:pPr>
    </w:p>
    <w:p w:rsidR="005A3F01" w:rsidRPr="005A3F01" w:rsidRDefault="005A3F01" w:rsidP="000B2A25">
      <w:pPr>
        <w:spacing w:after="0" w:line="240" w:lineRule="auto"/>
        <w:rPr>
          <w:b/>
        </w:rPr>
      </w:pPr>
      <w:bookmarkStart w:id="0" w:name="_GoBack"/>
      <w:r w:rsidRPr="005A3F01">
        <w:rPr>
          <w:b/>
        </w:rPr>
        <w:t>Documentazione:</w:t>
      </w:r>
    </w:p>
    <w:bookmarkEnd w:id="0"/>
    <w:p w:rsidR="005A3F01" w:rsidRDefault="005A3F01" w:rsidP="000B2A25">
      <w:pPr>
        <w:spacing w:after="0" w:line="240" w:lineRule="auto"/>
      </w:pPr>
      <w:r w:rsidRPr="005A3F01">
        <w:t>http://www.lazioeuropa.it/bandi/fuoriclasse_seconda_edizione-368/</w:t>
      </w:r>
    </w:p>
    <w:sectPr w:rsidR="005A3F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4508"/>
    <w:multiLevelType w:val="hybridMultilevel"/>
    <w:tmpl w:val="26F015C4"/>
    <w:lvl w:ilvl="0" w:tplc="14EAB1A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11A5D"/>
    <w:multiLevelType w:val="hybridMultilevel"/>
    <w:tmpl w:val="9C2CD076"/>
    <w:lvl w:ilvl="0" w:tplc="14EAB1A6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25"/>
    <w:rsid w:val="00071C18"/>
    <w:rsid w:val="000B2A25"/>
    <w:rsid w:val="00244077"/>
    <w:rsid w:val="003A2049"/>
    <w:rsid w:val="00437F7E"/>
    <w:rsid w:val="00467CEB"/>
    <w:rsid w:val="005A3F01"/>
    <w:rsid w:val="006E490C"/>
    <w:rsid w:val="00723FC0"/>
    <w:rsid w:val="00756C3F"/>
    <w:rsid w:val="00761DF4"/>
    <w:rsid w:val="007A5AE5"/>
    <w:rsid w:val="00A74417"/>
    <w:rsid w:val="00AA7F87"/>
    <w:rsid w:val="00C63B4F"/>
    <w:rsid w:val="00D10F8F"/>
    <w:rsid w:val="00D716A9"/>
    <w:rsid w:val="00F77E6A"/>
    <w:rsid w:val="00FD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7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massimiliano</cp:lastModifiedBy>
  <cp:revision>8</cp:revision>
  <dcterms:created xsi:type="dcterms:W3CDTF">2015-12-23T14:01:00Z</dcterms:created>
  <dcterms:modified xsi:type="dcterms:W3CDTF">2016-01-04T09:00:00Z</dcterms:modified>
</cp:coreProperties>
</file>